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FC" w:rsidRDefault="00F44F9B">
      <w:pPr>
        <w:pStyle w:val="Corpotesto"/>
        <w:ind w:left="122"/>
        <w:rPr>
          <w:sz w:val="20"/>
        </w:rPr>
      </w:pPr>
      <w:bookmarkStart w:id="0" w:name="_GoBack"/>
      <w:bookmarkEnd w:id="0"/>
      <w:r>
        <w:pict>
          <v:rect id="_x0000_s1045" style="position:absolute;left:0;text-align:left;margin-left:0;margin-top:0;width:595.3pt;height:841.9pt;z-index:-3352;mso-position-horizontal-relative:page;mso-position-vertical-relative:page" fillcolor="#c4bb95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_x0000_s1027" style="width:463.75pt;height:50.5pt;mso-position-horizontal-relative:char;mso-position-vertical-relative:line" coordsize="9275,1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9196;height:1007">
              <v:imagedata r:id="rId6" o:title=""/>
            </v:shape>
            <v:shape id="_x0000_s1043" type="#_x0000_t75" style="position:absolute;left:8805;top:50;width:470;height:960">
              <v:imagedata r:id="rId7" o:title=""/>
            </v:shape>
            <v:shape id="_x0000_s1042" type="#_x0000_t75" style="position:absolute;left:8323;top:50;width:432;height:960">
              <v:imagedata r:id="rId8" o:title=""/>
            </v:shape>
            <v:shape id="_x0000_s1041" type="#_x0000_t75" style="position:absolute;left:8074;top:71;width:206;height:918">
              <v:imagedata r:id="rId9" o:title=""/>
            </v:shape>
            <v:shape id="_x0000_s1040" type="#_x0000_t75" style="position:absolute;left:7310;top:71;width:736;height:933">
              <v:imagedata r:id="rId10" o:title=""/>
            </v:shape>
            <v:shape id="_x0000_s1039" type="#_x0000_t75" style="position:absolute;left:6782;top:71;width:483;height:918">
              <v:imagedata r:id="rId11" o:title=""/>
            </v:shape>
            <v:shape id="_x0000_s1038" type="#_x0000_t75" style="position:absolute;left:5819;top:71;width:943;height:939">
              <v:imagedata r:id="rId12" o:title=""/>
            </v:shape>
            <v:shape id="_x0000_s1037" type="#_x0000_t75" style="position:absolute;left:5348;top:50;width:432;height:960">
              <v:imagedata r:id="rId13" o:title=""/>
            </v:shape>
            <v:shape id="_x0000_s1036" type="#_x0000_t75" style="position:absolute;left:4918;top:71;width:206;height:918">
              <v:imagedata r:id="rId14" o:title=""/>
            </v:shape>
            <v:shape id="_x0000_s1035" type="#_x0000_t75" style="position:absolute;left:4390;top:71;width:483;height:918">
              <v:imagedata r:id="rId15" o:title=""/>
            </v:shape>
            <v:shape id="_x0000_s1034" type="#_x0000_t75" style="position:absolute;left:3243;top:50;width:985;height:939">
              <v:imagedata r:id="rId16" o:title=""/>
            </v:shape>
            <v:shape id="_x0000_s1033" type="#_x0000_t75" style="position:absolute;left:2804;top:71;width:411;height:918">
              <v:imagedata r:id="rId17" o:title=""/>
            </v:shape>
            <v:shape id="_x0000_s1032" type="#_x0000_t75" style="position:absolute;left:2566;top:71;width:206;height:918">
              <v:imagedata r:id="rId9" o:title=""/>
            </v:shape>
            <v:shape id="_x0000_s1031" type="#_x0000_t75" style="position:absolute;left:1802;top:71;width:736;height:933">
              <v:imagedata r:id="rId18" o:title=""/>
            </v:shape>
            <v:shape id="_x0000_s1030" type="#_x0000_t75" style="position:absolute;left:1153;top:71;width:617;height:918">
              <v:imagedata r:id="rId19" o:title=""/>
            </v:shape>
            <v:shape id="_x0000_s1029" type="#_x0000_t75" style="position:absolute;left:483;top:50;width:509;height:939">
              <v:imagedata r:id="rId20" o:title=""/>
            </v:shape>
            <v:shape id="_x0000_s1028" type="#_x0000_t75" style="position:absolute;left:50;top:71;width:413;height:918">
              <v:imagedata r:id="rId21" o:title=""/>
            </v:shape>
            <w10:wrap type="none"/>
            <w10:anchorlock/>
          </v:group>
        </w:pict>
      </w:r>
    </w:p>
    <w:p w:rsidR="000C16FC" w:rsidRDefault="000C16FC">
      <w:pPr>
        <w:pStyle w:val="Corpotesto"/>
        <w:ind w:left="0"/>
        <w:rPr>
          <w:sz w:val="20"/>
        </w:rPr>
      </w:pPr>
    </w:p>
    <w:p w:rsidR="000C16FC" w:rsidRDefault="000C16FC">
      <w:pPr>
        <w:pStyle w:val="Corpotesto"/>
        <w:ind w:left="0"/>
        <w:rPr>
          <w:sz w:val="20"/>
        </w:rPr>
      </w:pPr>
    </w:p>
    <w:p w:rsidR="000C16FC" w:rsidRDefault="000C16FC">
      <w:pPr>
        <w:pStyle w:val="Corpotesto"/>
        <w:ind w:left="0"/>
        <w:rPr>
          <w:sz w:val="20"/>
        </w:rPr>
      </w:pPr>
    </w:p>
    <w:p w:rsidR="000C16FC" w:rsidRDefault="000C16FC">
      <w:pPr>
        <w:pStyle w:val="Corpotesto"/>
        <w:ind w:left="0"/>
        <w:rPr>
          <w:sz w:val="20"/>
        </w:rPr>
      </w:pPr>
    </w:p>
    <w:p w:rsidR="000C16FC" w:rsidRDefault="000C16FC">
      <w:pPr>
        <w:pStyle w:val="Corpotesto"/>
        <w:ind w:left="0"/>
        <w:rPr>
          <w:sz w:val="20"/>
        </w:rPr>
      </w:pPr>
    </w:p>
    <w:p w:rsidR="000C16FC" w:rsidRDefault="000C16FC">
      <w:pPr>
        <w:pStyle w:val="Corpotesto"/>
        <w:ind w:left="0"/>
        <w:rPr>
          <w:sz w:val="20"/>
        </w:rPr>
      </w:pPr>
    </w:p>
    <w:p w:rsidR="000C16FC" w:rsidRDefault="000C16FC">
      <w:pPr>
        <w:pStyle w:val="Corpotesto"/>
        <w:spacing w:before="5"/>
        <w:ind w:left="0"/>
      </w:pPr>
    </w:p>
    <w:p w:rsidR="000C16FC" w:rsidRDefault="00F44F9B">
      <w:pPr>
        <w:pStyle w:val="Titolo1"/>
        <w:ind w:left="112" w:firstLine="0"/>
        <w:jc w:val="both"/>
      </w:pPr>
      <w:r>
        <w:t>Aspetto Geologico</w:t>
      </w:r>
    </w:p>
    <w:p w:rsidR="000C16FC" w:rsidRDefault="00F44F9B">
      <w:pPr>
        <w:pStyle w:val="Corpotesto"/>
        <w:spacing w:before="121" w:line="360" w:lineRule="auto"/>
        <w:ind w:right="108"/>
        <w:jc w:val="both"/>
      </w:pPr>
      <w:r>
        <w:t>La catena carnica è formata principalmente da terreni del paleozoico, che si estendono fino alla serie di depressioni che si allinea dalla Val Pesarina a Comeglians, alla Val Calda, a Paluzza, al</w:t>
      </w:r>
      <w:r>
        <w:t>la Sella di Ligosullo, a Paularo, alla Forca Pradulina, a</w:t>
      </w:r>
      <w:r>
        <w:rPr>
          <w:spacing w:val="-6"/>
        </w:rPr>
        <w:t xml:space="preserve"> </w:t>
      </w:r>
      <w:r>
        <w:t>Pontebba.</w:t>
      </w:r>
    </w:p>
    <w:p w:rsidR="000C16FC" w:rsidRDefault="00F44F9B">
      <w:pPr>
        <w:pStyle w:val="Corpotesto"/>
        <w:spacing w:before="4" w:line="360" w:lineRule="auto"/>
        <w:ind w:right="121"/>
        <w:jc w:val="both"/>
      </w:pPr>
      <w:r>
        <w:t>Fra questa serie di depressioni e il corso del Tagliamento si elevano le Prealpi e le Alpi tolmezzine, formate quasi interamente da terreni del Trias.</w:t>
      </w:r>
    </w:p>
    <w:p w:rsidR="000C16FC" w:rsidRDefault="00F44F9B">
      <w:pPr>
        <w:pStyle w:val="Corpotesto"/>
        <w:spacing w:before="4"/>
        <w:jc w:val="both"/>
      </w:pPr>
      <w:r>
        <w:t xml:space="preserve">I giacimenti di carbon fossile della </w:t>
      </w:r>
      <w:r>
        <w:t>Carnia si distinguono in due gruppi:</w:t>
      </w:r>
    </w:p>
    <w:p w:rsidR="000C16FC" w:rsidRDefault="00F44F9B">
      <w:pPr>
        <w:pStyle w:val="Paragrafoelenco"/>
        <w:numPr>
          <w:ilvl w:val="0"/>
          <w:numId w:val="1"/>
        </w:numPr>
        <w:tabs>
          <w:tab w:val="left" w:pos="1026"/>
        </w:tabs>
        <w:spacing w:before="124"/>
      </w:pPr>
      <w:r>
        <w:t>Carboni del Carbonifero, presenti in qualche punto della catena</w:t>
      </w:r>
      <w:r>
        <w:rPr>
          <w:spacing w:val="-5"/>
        </w:rPr>
        <w:t xml:space="preserve"> </w:t>
      </w:r>
      <w:r>
        <w:t>carnica.</w:t>
      </w:r>
    </w:p>
    <w:p w:rsidR="000C16FC" w:rsidRDefault="00F44F9B">
      <w:pPr>
        <w:pStyle w:val="Paragrafoelenco"/>
        <w:numPr>
          <w:ilvl w:val="0"/>
          <w:numId w:val="1"/>
        </w:numPr>
        <w:tabs>
          <w:tab w:val="left" w:pos="1026"/>
        </w:tabs>
        <w:spacing w:before="125"/>
      </w:pPr>
      <w:r>
        <w:t>Carboni Triassici, limitati a qualche settore delle Alpi</w:t>
      </w:r>
      <w:r>
        <w:rPr>
          <w:spacing w:val="-10"/>
        </w:rPr>
        <w:t xml:space="preserve"> </w:t>
      </w:r>
      <w:r>
        <w:t>tolmezzine.</w:t>
      </w:r>
    </w:p>
    <w:p w:rsidR="000C16FC" w:rsidRDefault="000C16FC">
      <w:pPr>
        <w:pStyle w:val="Corpotesto"/>
        <w:ind w:left="0"/>
        <w:rPr>
          <w:sz w:val="26"/>
        </w:rPr>
      </w:pPr>
    </w:p>
    <w:p w:rsidR="000C16FC" w:rsidRDefault="00F44F9B">
      <w:pPr>
        <w:pStyle w:val="Corpotesto"/>
        <w:spacing w:before="207" w:line="360" w:lineRule="auto"/>
        <w:ind w:right="109"/>
        <w:jc w:val="both"/>
      </w:pPr>
      <w:r>
        <w:t>La zona di Cludinico si appoggia al massiccio del Clap di Corbolan con pende</w:t>
      </w:r>
      <w:r>
        <w:t>nza generale verso nord. Essa affiora trasversalmente alla Valle del Degano ed è troncata a nord dalla grande piega- faglia Sauris-Ovaro- Arta.</w:t>
      </w:r>
    </w:p>
    <w:p w:rsidR="000C16FC" w:rsidRDefault="00F44F9B">
      <w:pPr>
        <w:pStyle w:val="Corpotesto"/>
        <w:spacing w:before="4" w:line="360" w:lineRule="auto"/>
        <w:ind w:right="115"/>
        <w:jc w:val="both"/>
      </w:pPr>
      <w:r>
        <w:t xml:space="preserve">Nel 1936 </w:t>
      </w:r>
      <w:r>
        <w:rPr>
          <w:b/>
        </w:rPr>
        <w:t xml:space="preserve">Dell’Oste Umberto </w:t>
      </w:r>
      <w:r>
        <w:t>di Cludinico inviò al governo nazionale una relazione che presentava la possibilità di riprendere i lavori per l’estrazione del carbone nella nuova miniera di Cludinico.</w:t>
      </w:r>
    </w:p>
    <w:p w:rsidR="000C16FC" w:rsidRDefault="00F44F9B">
      <w:pPr>
        <w:pStyle w:val="Corpotesto"/>
        <w:spacing w:before="4" w:line="360" w:lineRule="auto"/>
        <w:ind w:right="1895"/>
      </w:pPr>
      <w:r>
        <w:t>La proposta fu accettata e l’incarico venne affidato all’Azienda Carboni Italiani (A.C</w:t>
      </w:r>
      <w:r>
        <w:t>a.I). Nella zona, che è la più produttiva, notiamo diversi livelli carboniferi:</w:t>
      </w:r>
    </w:p>
    <w:p w:rsidR="000C16FC" w:rsidRDefault="00F44F9B">
      <w:pPr>
        <w:pStyle w:val="Titolo1"/>
        <w:numPr>
          <w:ilvl w:val="0"/>
          <w:numId w:val="2"/>
        </w:numPr>
        <w:tabs>
          <w:tab w:val="left" w:pos="1914"/>
        </w:tabs>
        <w:spacing w:before="4"/>
        <w:rPr>
          <w:b w:val="0"/>
        </w:rPr>
      </w:pPr>
      <w:r>
        <w:t>Rio</w:t>
      </w:r>
      <w:r>
        <w:rPr>
          <w:spacing w:val="-1"/>
        </w:rPr>
        <w:t xml:space="preserve"> </w:t>
      </w:r>
      <w:r>
        <w:t>Malon</w:t>
      </w:r>
      <w:r>
        <w:rPr>
          <w:b w:val="0"/>
        </w:rPr>
        <w:t>.</w:t>
      </w:r>
    </w:p>
    <w:p w:rsidR="000C16FC" w:rsidRDefault="00F44F9B">
      <w:pPr>
        <w:pStyle w:val="Paragrafoelenco"/>
        <w:numPr>
          <w:ilvl w:val="0"/>
          <w:numId w:val="2"/>
        </w:numPr>
        <w:tabs>
          <w:tab w:val="left" w:pos="1914"/>
        </w:tabs>
        <w:spacing w:before="128"/>
      </w:pPr>
      <w:r>
        <w:rPr>
          <w:b/>
        </w:rPr>
        <w:t>Creta</w:t>
      </w:r>
      <w:r>
        <w:rPr>
          <w:b/>
          <w:spacing w:val="-1"/>
        </w:rPr>
        <w:t xml:space="preserve"> </w:t>
      </w:r>
      <w:r>
        <w:rPr>
          <w:b/>
        </w:rPr>
        <w:t>D’Oro</w:t>
      </w:r>
      <w:r>
        <w:t>.</w:t>
      </w:r>
    </w:p>
    <w:p w:rsidR="000C16FC" w:rsidRDefault="00F44F9B">
      <w:pPr>
        <w:pStyle w:val="Paragrafoelenco"/>
        <w:numPr>
          <w:ilvl w:val="0"/>
          <w:numId w:val="2"/>
        </w:numPr>
        <w:tabs>
          <w:tab w:val="left" w:pos="1914"/>
        </w:tabs>
        <w:spacing w:before="126"/>
      </w:pPr>
      <w:r>
        <w:rPr>
          <w:b/>
        </w:rPr>
        <w:t>Rio</w:t>
      </w:r>
      <w:r>
        <w:rPr>
          <w:b/>
          <w:spacing w:val="-3"/>
        </w:rPr>
        <w:t xml:space="preserve"> </w:t>
      </w:r>
      <w:r>
        <w:rPr>
          <w:b/>
        </w:rPr>
        <w:t>Furioso</w:t>
      </w:r>
      <w:r>
        <w:t>.</w:t>
      </w:r>
    </w:p>
    <w:p w:rsidR="000C16FC" w:rsidRDefault="000C16FC">
      <w:pPr>
        <w:pStyle w:val="Corpotesto"/>
        <w:ind w:left="0"/>
        <w:rPr>
          <w:sz w:val="24"/>
        </w:rPr>
      </w:pPr>
    </w:p>
    <w:p w:rsidR="000C16FC" w:rsidRDefault="000C16FC">
      <w:pPr>
        <w:pStyle w:val="Corpotesto"/>
        <w:spacing w:before="10"/>
        <w:ind w:left="0"/>
        <w:rPr>
          <w:sz w:val="19"/>
        </w:rPr>
      </w:pPr>
    </w:p>
    <w:p w:rsidR="000C16FC" w:rsidRDefault="00F44F9B">
      <w:pPr>
        <w:pStyle w:val="Corpotesto"/>
        <w:spacing w:line="360" w:lineRule="auto"/>
        <w:ind w:right="118"/>
        <w:jc w:val="both"/>
      </w:pPr>
      <w:r>
        <w:t>Nel periodo di massima produzione e di maggiore espansione, nella miniera, gli operai aumentarono fino a raggiungere 1600 persone. Questi</w:t>
      </w:r>
      <w:r>
        <w:t xml:space="preserve"> in genere provenivano da Lauco, Paularo, dalla Sicilia e da altre regioni di Italia.</w:t>
      </w:r>
    </w:p>
    <w:p w:rsidR="000C16FC" w:rsidRDefault="00F44F9B">
      <w:pPr>
        <w:pStyle w:val="Corpotesto"/>
        <w:spacing w:before="3" w:line="360" w:lineRule="auto"/>
        <w:ind w:right="117"/>
        <w:jc w:val="both"/>
      </w:pPr>
      <w:r>
        <w:t>Quelli che abitavano nei luoghi limitrofi giungevano sul posto di lavoro a piedi e rincasavano ogni giorno, mentre gli altri alloggiavano in apposite strutture di tre loc</w:t>
      </w:r>
      <w:r>
        <w:t>ali prefabbricati a Cludinico. Ogni locale ospitava 120 operai.</w:t>
      </w:r>
    </w:p>
    <w:p w:rsidR="000C16FC" w:rsidRDefault="00F44F9B">
      <w:pPr>
        <w:pStyle w:val="Corpotesto"/>
        <w:spacing w:before="6"/>
        <w:jc w:val="both"/>
      </w:pPr>
      <w:r>
        <w:t>Le famiglie dei tecnici potevano permettersi di affittare alcune case presso Cludinico o Ovaro.</w:t>
      </w:r>
    </w:p>
    <w:p w:rsidR="000C16FC" w:rsidRDefault="000C16FC">
      <w:pPr>
        <w:jc w:val="both"/>
        <w:sectPr w:rsidR="000C16FC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0C16FC" w:rsidRDefault="00F44F9B">
      <w:pPr>
        <w:pStyle w:val="Corpotesto"/>
        <w:spacing w:before="71" w:line="360" w:lineRule="auto"/>
        <w:ind w:right="111"/>
        <w:jc w:val="both"/>
      </w:pPr>
      <w:r>
        <w:lastRenderedPageBreak/>
        <w:pict>
          <v:rect id="_x0000_s1026" style="position:absolute;left:0;text-align:left;margin-left:0;margin-top:0;width:595.3pt;height:841.9pt;z-index:-3328;mso-position-horizontal-relative:page;mso-position-vertical-relative:page" fillcolor="#c4bb95" stroked="f">
            <w10:wrap anchorx="page" anchory="page"/>
          </v:rect>
        </w:pict>
      </w:r>
      <w:r>
        <w:t>Gli operai lavoravano in condizioni molto dure e difficili. In un primo momento i trasporti venivano effettuati con carri trainati da cavalli, poi il servizio è stato sostituito dal servizio di trasporto su autocarri gestito dalla famiglia Cimenti. La ferr</w:t>
      </w:r>
      <w:r>
        <w:t>ovia che arrivava a Comeglians è stata dismessa nel</w:t>
      </w:r>
      <w:r>
        <w:rPr>
          <w:spacing w:val="-13"/>
        </w:rPr>
        <w:t xml:space="preserve"> </w:t>
      </w:r>
      <w:r>
        <w:t>1935.</w:t>
      </w:r>
    </w:p>
    <w:p w:rsidR="000C16FC" w:rsidRDefault="00F44F9B">
      <w:pPr>
        <w:pStyle w:val="Corpotesto"/>
        <w:spacing w:before="4" w:line="360" w:lineRule="auto"/>
        <w:ind w:right="112"/>
        <w:jc w:val="both"/>
      </w:pPr>
      <w:r>
        <w:t>L’attività estrattiva era iniziata verso la metà dell’800 (1855-1865) poi venne presto abbandonata e ripresa verso il 1873 e il 1876 (in concomitanza con gli scioperi delle miniere inglesi), per chi</w:t>
      </w:r>
      <w:r>
        <w:t>udere definitivamente nei primi anni del ‘900.</w:t>
      </w:r>
    </w:p>
    <w:p w:rsidR="000C16FC" w:rsidRDefault="00F44F9B">
      <w:pPr>
        <w:pStyle w:val="Corpotesto"/>
        <w:spacing w:before="4"/>
      </w:pPr>
      <w:r>
        <w:t>Il materiale poteva essere trasformato sul luogo o inviato a Udine (Gazometro o raffineria Braida).</w:t>
      </w:r>
    </w:p>
    <w:p w:rsidR="000C16FC" w:rsidRDefault="00F44F9B">
      <w:pPr>
        <w:pStyle w:val="Corpotesto"/>
        <w:spacing w:before="126" w:line="360" w:lineRule="auto"/>
        <w:ind w:right="112"/>
        <w:jc w:val="both"/>
      </w:pPr>
      <w:r>
        <w:t>Nel 1880 operavano 50 operai scavatori e un certo numero di donne e di carradori. Le donne lavoravano all’esterno e si occupavano di scegliere il carbone.</w:t>
      </w:r>
    </w:p>
    <w:sectPr w:rsidR="000C16FC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C65"/>
    <w:multiLevelType w:val="hybridMultilevel"/>
    <w:tmpl w:val="65C00A50"/>
    <w:lvl w:ilvl="0" w:tplc="03703B60">
      <w:numFmt w:val="bullet"/>
      <w:lvlText w:val=""/>
      <w:lvlJc w:val="left"/>
      <w:pPr>
        <w:ind w:left="1025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0AE3960">
      <w:numFmt w:val="bullet"/>
      <w:lvlText w:val="•"/>
      <w:lvlJc w:val="left"/>
      <w:pPr>
        <w:ind w:left="1904" w:hanging="286"/>
      </w:pPr>
      <w:rPr>
        <w:rFonts w:hint="default"/>
      </w:rPr>
    </w:lvl>
    <w:lvl w:ilvl="2" w:tplc="821A80E8">
      <w:numFmt w:val="bullet"/>
      <w:lvlText w:val="•"/>
      <w:lvlJc w:val="left"/>
      <w:pPr>
        <w:ind w:left="2789" w:hanging="286"/>
      </w:pPr>
      <w:rPr>
        <w:rFonts w:hint="default"/>
      </w:rPr>
    </w:lvl>
    <w:lvl w:ilvl="3" w:tplc="CAACCA92">
      <w:numFmt w:val="bullet"/>
      <w:lvlText w:val="•"/>
      <w:lvlJc w:val="left"/>
      <w:pPr>
        <w:ind w:left="3673" w:hanging="286"/>
      </w:pPr>
      <w:rPr>
        <w:rFonts w:hint="default"/>
      </w:rPr>
    </w:lvl>
    <w:lvl w:ilvl="4" w:tplc="CFCEC138">
      <w:numFmt w:val="bullet"/>
      <w:lvlText w:val="•"/>
      <w:lvlJc w:val="left"/>
      <w:pPr>
        <w:ind w:left="4558" w:hanging="286"/>
      </w:pPr>
      <w:rPr>
        <w:rFonts w:hint="default"/>
      </w:rPr>
    </w:lvl>
    <w:lvl w:ilvl="5" w:tplc="1116DEA8">
      <w:numFmt w:val="bullet"/>
      <w:lvlText w:val="•"/>
      <w:lvlJc w:val="left"/>
      <w:pPr>
        <w:ind w:left="5443" w:hanging="286"/>
      </w:pPr>
      <w:rPr>
        <w:rFonts w:hint="default"/>
      </w:rPr>
    </w:lvl>
    <w:lvl w:ilvl="6" w:tplc="53BE322E">
      <w:numFmt w:val="bullet"/>
      <w:lvlText w:val="•"/>
      <w:lvlJc w:val="left"/>
      <w:pPr>
        <w:ind w:left="6327" w:hanging="286"/>
      </w:pPr>
      <w:rPr>
        <w:rFonts w:hint="default"/>
      </w:rPr>
    </w:lvl>
    <w:lvl w:ilvl="7" w:tplc="6E02C818">
      <w:numFmt w:val="bullet"/>
      <w:lvlText w:val="•"/>
      <w:lvlJc w:val="left"/>
      <w:pPr>
        <w:ind w:left="7212" w:hanging="286"/>
      </w:pPr>
      <w:rPr>
        <w:rFonts w:hint="default"/>
      </w:rPr>
    </w:lvl>
    <w:lvl w:ilvl="8" w:tplc="C5F02882">
      <w:numFmt w:val="bullet"/>
      <w:lvlText w:val="•"/>
      <w:lvlJc w:val="left"/>
      <w:pPr>
        <w:ind w:left="8097" w:hanging="286"/>
      </w:pPr>
      <w:rPr>
        <w:rFonts w:hint="default"/>
      </w:rPr>
    </w:lvl>
  </w:abstractNum>
  <w:abstractNum w:abstractNumId="1">
    <w:nsid w:val="24191081"/>
    <w:multiLevelType w:val="hybridMultilevel"/>
    <w:tmpl w:val="9C64265A"/>
    <w:lvl w:ilvl="0" w:tplc="9E06DDC2">
      <w:start w:val="1"/>
      <w:numFmt w:val="decimal"/>
      <w:lvlText w:val="%1)"/>
      <w:lvlJc w:val="left"/>
      <w:pPr>
        <w:ind w:left="19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CDEEC3A">
      <w:numFmt w:val="bullet"/>
      <w:lvlText w:val="•"/>
      <w:lvlJc w:val="left"/>
      <w:pPr>
        <w:ind w:left="2714" w:hanging="360"/>
      </w:pPr>
      <w:rPr>
        <w:rFonts w:hint="default"/>
      </w:rPr>
    </w:lvl>
    <w:lvl w:ilvl="2" w:tplc="085AD108">
      <w:numFmt w:val="bullet"/>
      <w:lvlText w:val="•"/>
      <w:lvlJc w:val="left"/>
      <w:pPr>
        <w:ind w:left="3509" w:hanging="360"/>
      </w:pPr>
      <w:rPr>
        <w:rFonts w:hint="default"/>
      </w:rPr>
    </w:lvl>
    <w:lvl w:ilvl="3" w:tplc="CB3415AE">
      <w:numFmt w:val="bullet"/>
      <w:lvlText w:val="•"/>
      <w:lvlJc w:val="left"/>
      <w:pPr>
        <w:ind w:left="4303" w:hanging="360"/>
      </w:pPr>
      <w:rPr>
        <w:rFonts w:hint="default"/>
      </w:rPr>
    </w:lvl>
    <w:lvl w:ilvl="4" w:tplc="1C869E6A"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D4DC8DF4"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34064550">
      <w:numFmt w:val="bullet"/>
      <w:lvlText w:val="•"/>
      <w:lvlJc w:val="left"/>
      <w:pPr>
        <w:ind w:left="6687" w:hanging="360"/>
      </w:pPr>
      <w:rPr>
        <w:rFonts w:hint="default"/>
      </w:rPr>
    </w:lvl>
    <w:lvl w:ilvl="7" w:tplc="7038823A">
      <w:numFmt w:val="bullet"/>
      <w:lvlText w:val="•"/>
      <w:lvlJc w:val="left"/>
      <w:pPr>
        <w:ind w:left="7482" w:hanging="360"/>
      </w:pPr>
      <w:rPr>
        <w:rFonts w:hint="default"/>
      </w:rPr>
    </w:lvl>
    <w:lvl w:ilvl="8" w:tplc="7534C46A">
      <w:numFmt w:val="bullet"/>
      <w:lvlText w:val="•"/>
      <w:lvlJc w:val="left"/>
      <w:pPr>
        <w:ind w:left="827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16FC"/>
    <w:rsid w:val="000C16FC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913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4"/>
      <w:ind w:left="191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2018-04-13T08:28:00Z</dcterms:created>
  <dcterms:modified xsi:type="dcterms:W3CDTF">2018-04-13T08:28:00Z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2018-04-13T00:00:00Z</vt:filetime>
  </property>
</Properties>
</file>